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7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附件3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7" w:line="223" w:lineRule="auto"/>
        <w:ind w:left="868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第十八届校园文化艺术节之“明辨杯”校园辩论赛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评分标准</w:t>
      </w:r>
    </w:p>
    <w:p>
      <w:pPr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评审制采用三票制（印象票，环节票，商讨票），每场比赛设置评委3名，三位评委在最后评审阶段投出一票决胜票，以决胜票数为主，评决过程向辩手全部公开，同时要求各评委公开阐说自己的判决原因。若票数一致，则综合三位评委给出的平均胜负比倾向进行评判。若胜负比倾向仍一致，则启动仲裁，由协会提供的三位校队人员共同商议决定最终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各评委各有“印象票”、“环节票”及“商讨票”一张。各位评委将在“印象票”公布后一同上台，公开自己的判决理由并接受其他评委对其判决的挑战，再投出第三轮“商讨票”。最后统计三轮结果，三轮总得票较高的一方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1.第一轮：总体印象投票（印象票）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评委观看完整场比赛后，参照评分标准，对比赛双方的总体印象进行投票。选择自己认为总体印象更好的一方为优胜方，该持方获得一票。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2.第二轮：比赛环节分数投票（环节票）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每位评委在赛事过程中按照评分标准，打出每个环节的环节分数，各环节分数相加计算总分，其分数较高的一方获得该评委的一票比赛环节分数票。本环节个人总分最高的辩手为本场比赛“优秀辩手”，若出现同分不同辩位的情况，由评委在商讨环节予以重新评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3.第三轮：评委商讨投票（商讨票）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评委上台进行公开点评，就坐于所投印象票的一方，并且由所投印象票多的一方开始发表点评意见。评审们公开点评期间，可在台上公开互相商讨交流各自观点。最终商讨完毕后，每位评审投出最后一轮的评审商讨票，不可弃权或平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0"/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如果第二轮某评审评出双方比赛分数相同，出现平票时，导致三轮投票的票数总数为偶数，导致比赛结果为平票时，则取消前两轮投票效力，只依据第三轮“评审商讨票”的投票结果决定比赛获胜方。如出现下情况，</w:t>
      </w:r>
      <w:r>
        <w:rPr>
          <w:rFonts w:hint="eastAsia" w:ascii="仿宋" w:hAnsi="仿宋" w:eastAsia="仿宋" w:cs="仿宋_GB2312"/>
          <w:b/>
          <w:bCs w:val="0"/>
          <w:sz w:val="32"/>
          <w:szCs w:val="32"/>
          <w:lang w:val="en-US" w:eastAsia="zh-CN"/>
        </w:rPr>
        <w:t>将酌情给予团体和个人以适当扣分：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1.辩手发言内容违反国家法律法规、内容不健康或进行人身攻击；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2.质询环节的提问、回答与辩题无关，被质询方违规反问；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3.攻辩小结不是紧扣攻辩内容进行，而是简单背稿或陈述其他内容；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4.自由辩论环节的辩论远离辩题、对对方已经明确回答或陈述的问题仍然纠缠不清、对方发言完毕本方长时间不回应、本方队员多次同时抢着站立发言等；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5.总结陈词脱离本场辩论内容，机械背稿。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6.未能展现作为辩手的基本礼仪，基本尊重，做出不当的举止言行。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0"/>
      </w:pPr>
      <w:r>
        <w:rPr>
          <w:rFonts w:hint="eastAsia" w:ascii="仿宋" w:hAnsi="仿宋" w:eastAsia="仿宋" w:cs="仿宋_GB2312"/>
          <w:b w:val="0"/>
          <w:bCs/>
          <w:sz w:val="32"/>
          <w:szCs w:val="32"/>
          <w:lang w:val="en-US" w:eastAsia="zh-CN"/>
        </w:rPr>
        <w:t>7.违反赛制流程，不听从计时工作人员安排。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1BC97C76"/>
    <w:rsid w:val="0FCD56BE"/>
    <w:rsid w:val="1BC97C76"/>
    <w:rsid w:val="2C7F0440"/>
    <w:rsid w:val="7FF8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2024-03-06T07:38:00Z</dcterms:created>
  <dc:creator>ОνΕг。┏</dc:creator>
  <cp:lastModifiedBy>ОνΕг。┏</cp:lastModifiedBy>
  <dcterms:modified xsi:type="dcterms:W3CDTF">2024-03-11T11:05:53Z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ED3E732438F941A5AE1800C1870C1079_11</vt:lpwstr>
  </property>
</Properties>
</file>